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8BB9C4" w14:textId="7EEB61C5" w:rsidR="00344C7F" w:rsidRPr="002879A7" w:rsidRDefault="00344C7F" w:rsidP="002879A7">
      <w:pPr>
        <w:spacing w:line="276" w:lineRule="auto"/>
        <w:jc w:val="center"/>
        <w:rPr>
          <w:rFonts w:cstheme="minorHAnsi"/>
          <w:b/>
          <w:bCs/>
          <w:sz w:val="28"/>
          <w:szCs w:val="28"/>
        </w:rPr>
      </w:pPr>
      <w:r w:rsidRPr="002879A7">
        <w:rPr>
          <w:rFonts w:cstheme="minorHAnsi"/>
          <w:b/>
          <w:bCs/>
          <w:sz w:val="28"/>
          <w:szCs w:val="28"/>
        </w:rPr>
        <w:t>Połączenia wyrównawcze w węzłach ciepłowniczych</w:t>
      </w:r>
    </w:p>
    <w:p w14:paraId="1C627084" w14:textId="77777777" w:rsidR="00344C7F" w:rsidRPr="00B13BC9" w:rsidRDefault="00344C7F" w:rsidP="00344C7F">
      <w:pPr>
        <w:pStyle w:val="Akapitzlist"/>
        <w:spacing w:line="276" w:lineRule="auto"/>
        <w:ind w:left="1080"/>
        <w:rPr>
          <w:rFonts w:cstheme="minorHAnsi"/>
          <w:b/>
          <w:bCs/>
        </w:rPr>
      </w:pPr>
    </w:p>
    <w:p w14:paraId="07834967" w14:textId="51FDB9CF" w:rsidR="00344C7F" w:rsidRPr="00CF123F" w:rsidRDefault="00344C7F" w:rsidP="002879A7">
      <w:pPr>
        <w:pStyle w:val="Akapitzlist"/>
        <w:spacing w:line="276" w:lineRule="auto"/>
        <w:ind w:left="360" w:firstLine="348"/>
        <w:rPr>
          <w:rFonts w:cstheme="minorHAnsi"/>
          <w:sz w:val="24"/>
          <w:szCs w:val="24"/>
        </w:rPr>
      </w:pPr>
      <w:r w:rsidRPr="00CF123F">
        <w:rPr>
          <w:rFonts w:cstheme="minorHAnsi"/>
          <w:sz w:val="24"/>
          <w:szCs w:val="24"/>
        </w:rPr>
        <w:t>Zgodnie z obowiązującymi  warunkami technicznymi (Dz.U. 2002 nr 75 poz. 690 z</w:t>
      </w:r>
      <w:r w:rsidR="00CF123F">
        <w:rPr>
          <w:rFonts w:cstheme="minorHAnsi"/>
          <w:sz w:val="24"/>
          <w:szCs w:val="24"/>
        </w:rPr>
        <w:t> </w:t>
      </w:r>
      <w:r w:rsidRPr="00CF123F">
        <w:rPr>
          <w:rFonts w:cstheme="minorHAnsi"/>
          <w:sz w:val="24"/>
          <w:szCs w:val="24"/>
        </w:rPr>
        <w:t xml:space="preserve">późniejszymi zmianami) &amp; 183 pkt.7  w instalacjach elektrycznych węzła należy stosować system połączeń wyrównawczych. </w:t>
      </w:r>
    </w:p>
    <w:p w14:paraId="52A3B8E7" w14:textId="77777777" w:rsidR="00344C7F" w:rsidRPr="00CF123F" w:rsidRDefault="00344C7F" w:rsidP="00344C7F">
      <w:pPr>
        <w:pStyle w:val="Akapitzlist"/>
        <w:spacing w:line="276" w:lineRule="auto"/>
        <w:ind w:left="360"/>
        <w:rPr>
          <w:rFonts w:cstheme="minorHAnsi"/>
          <w:sz w:val="24"/>
          <w:szCs w:val="24"/>
        </w:rPr>
      </w:pPr>
      <w:r w:rsidRPr="00CF123F">
        <w:rPr>
          <w:rFonts w:cstheme="minorHAnsi"/>
          <w:sz w:val="24"/>
          <w:szCs w:val="24"/>
        </w:rPr>
        <w:t>Instalacje połączeń wyrównawczych należy wykonać zgodnie z wymaganiami normy  m.in. PN-HD 60364  i  N SEP-E-001.</w:t>
      </w:r>
    </w:p>
    <w:p w14:paraId="6DF95081" w14:textId="77777777" w:rsidR="00344C7F" w:rsidRPr="00CF123F" w:rsidRDefault="00344C7F" w:rsidP="00344C7F">
      <w:pPr>
        <w:pStyle w:val="Akapitzlist"/>
        <w:spacing w:line="276" w:lineRule="auto"/>
        <w:ind w:left="360"/>
        <w:rPr>
          <w:rFonts w:cstheme="minorHAnsi"/>
          <w:sz w:val="24"/>
          <w:szCs w:val="24"/>
        </w:rPr>
      </w:pPr>
      <w:r w:rsidRPr="00CF123F">
        <w:rPr>
          <w:rFonts w:cstheme="minorHAnsi"/>
          <w:sz w:val="24"/>
          <w:szCs w:val="24"/>
        </w:rPr>
        <w:t xml:space="preserve"> Wykonawca uziomu w budynku powinien przygotować w pomieszczeniu węzła  miejscową szynę wyrównawczą połączoną z instalacją uziemiającą obiektu. Jeżeli uziom nie jest doprowadzony do węzła, należy go  wykonać i połączyć z połączeniem wyrównawczym głównym.</w:t>
      </w:r>
    </w:p>
    <w:p w14:paraId="109255DC" w14:textId="77777777" w:rsidR="00344C7F" w:rsidRPr="00CF123F" w:rsidRDefault="00344C7F" w:rsidP="00344C7F">
      <w:pPr>
        <w:pStyle w:val="Akapitzlist"/>
        <w:spacing w:line="276" w:lineRule="auto"/>
        <w:ind w:left="360"/>
        <w:rPr>
          <w:rFonts w:cstheme="minorHAnsi"/>
          <w:sz w:val="24"/>
          <w:szCs w:val="24"/>
        </w:rPr>
      </w:pPr>
    </w:p>
    <w:p w14:paraId="58F48919" w14:textId="77777777" w:rsidR="00344C7F" w:rsidRPr="00FE3BE8" w:rsidRDefault="00344C7F" w:rsidP="00FE3BE8">
      <w:pPr>
        <w:pStyle w:val="Akapitzlist"/>
        <w:spacing w:line="360" w:lineRule="auto"/>
        <w:ind w:left="360"/>
        <w:rPr>
          <w:rFonts w:cstheme="minorHAnsi"/>
          <w:b/>
          <w:bCs/>
        </w:rPr>
      </w:pPr>
      <w:r w:rsidRPr="00FE3BE8">
        <w:rPr>
          <w:rFonts w:cstheme="minorHAnsi"/>
          <w:b/>
          <w:bCs/>
        </w:rPr>
        <w:t xml:space="preserve">Połączenia wyrównawcze główne i miejscowe wykonać w oparciu o następujące zalecenia: </w:t>
      </w:r>
    </w:p>
    <w:p w14:paraId="383C7C6B" w14:textId="77777777" w:rsidR="00344C7F" w:rsidRPr="00FE3BE8" w:rsidRDefault="00344C7F" w:rsidP="00FE3BE8">
      <w:pPr>
        <w:pStyle w:val="Akapitzlist"/>
        <w:spacing w:line="360" w:lineRule="auto"/>
        <w:ind w:left="360"/>
        <w:rPr>
          <w:rFonts w:cstheme="minorHAnsi"/>
        </w:rPr>
      </w:pPr>
    </w:p>
    <w:p w14:paraId="288D823E" w14:textId="309FF22B" w:rsidR="00FE3BE8" w:rsidRPr="00FE3BE8" w:rsidRDefault="00344C7F" w:rsidP="00FE3BE8">
      <w:pPr>
        <w:pStyle w:val="Akapitzlist"/>
        <w:numPr>
          <w:ilvl w:val="0"/>
          <w:numId w:val="2"/>
        </w:numPr>
        <w:spacing w:line="360" w:lineRule="auto"/>
        <w:rPr>
          <w:rFonts w:cstheme="minorHAnsi"/>
        </w:rPr>
      </w:pPr>
      <w:r w:rsidRPr="00FE3BE8">
        <w:rPr>
          <w:rFonts w:cstheme="minorHAnsi"/>
        </w:rPr>
        <w:t>Połączenia wyrównawcze główne</w:t>
      </w:r>
      <w:r w:rsidR="00FE3BE8" w:rsidRPr="00FE3BE8">
        <w:rPr>
          <w:rFonts w:cstheme="minorHAnsi"/>
        </w:rPr>
        <w:t xml:space="preserve"> w węźle cieplnym</w:t>
      </w:r>
      <w:r w:rsidRPr="00FE3BE8">
        <w:rPr>
          <w:rFonts w:cstheme="minorHAnsi"/>
        </w:rPr>
        <w:t xml:space="preserve"> :</w:t>
      </w:r>
      <w:r w:rsidR="00FE3BE8" w:rsidRPr="00FE3BE8">
        <w:rPr>
          <w:rFonts w:cstheme="minorHAnsi"/>
        </w:rPr>
        <w:t xml:space="preserve"> Wykonujemy za pomocą płaskownika -  bednarki ocynkowanej </w:t>
      </w:r>
      <w:r w:rsidR="00EC3D02">
        <w:rPr>
          <w:rFonts w:cstheme="minorHAnsi"/>
        </w:rPr>
        <w:t>25x3</w:t>
      </w:r>
    </w:p>
    <w:p w14:paraId="037DE3C6" w14:textId="60134838" w:rsidR="00344C7F" w:rsidRPr="00FE3BE8" w:rsidRDefault="00FE3BE8" w:rsidP="00FE3BE8">
      <w:pPr>
        <w:pStyle w:val="Akapitzlist"/>
        <w:numPr>
          <w:ilvl w:val="0"/>
          <w:numId w:val="2"/>
        </w:numPr>
        <w:spacing w:line="360" w:lineRule="auto"/>
        <w:rPr>
          <w:rFonts w:cstheme="minorHAnsi"/>
        </w:rPr>
      </w:pPr>
      <w:r w:rsidRPr="00FE3BE8">
        <w:rPr>
          <w:rFonts w:cstheme="minorHAnsi"/>
        </w:rPr>
        <w:t xml:space="preserve">W przypadku zastosowania bednarki na zewnątrz np. w celu połączenia z uziomem, należy zastosować bednarkę </w:t>
      </w:r>
      <w:r w:rsidR="00EC3D02">
        <w:rPr>
          <w:rFonts w:cstheme="minorHAnsi"/>
        </w:rPr>
        <w:t>30x4</w:t>
      </w:r>
    </w:p>
    <w:p w14:paraId="0F97E0AD" w14:textId="74C4E089" w:rsidR="00344C7F" w:rsidRPr="00B13BC9" w:rsidRDefault="00344C7F" w:rsidP="00FE3BE8">
      <w:pPr>
        <w:pStyle w:val="Nagwek1"/>
        <w:numPr>
          <w:ilvl w:val="0"/>
          <w:numId w:val="2"/>
        </w:numPr>
        <w:shd w:val="clear" w:color="auto" w:fill="FFFFFF"/>
        <w:spacing w:before="0" w:beforeAutospacing="0" w:after="120" w:afterAutospacing="0" w:line="276" w:lineRule="auto"/>
        <w:rPr>
          <w:rFonts w:asciiTheme="minorHAnsi" w:hAnsiTheme="minorHAnsi" w:cstheme="minorHAnsi"/>
          <w:b w:val="0"/>
          <w:bCs w:val="0"/>
          <w:sz w:val="22"/>
          <w:szCs w:val="22"/>
        </w:rPr>
      </w:pPr>
      <w:r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Połączenia wyrównawcze miejscowe przewód o przekroju  ≥6mm</w:t>
      </w:r>
      <w:r w:rsidRPr="00B13BC9">
        <w:rPr>
          <w:rFonts w:asciiTheme="minorHAnsi" w:hAnsiTheme="minorHAnsi" w:cstheme="minorHAnsi"/>
          <w:b w:val="0"/>
          <w:bCs w:val="0"/>
          <w:sz w:val="22"/>
          <w:szCs w:val="22"/>
          <w:vertAlign w:val="superscript"/>
        </w:rPr>
        <w:t>2</w:t>
      </w:r>
      <w:r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, </w:t>
      </w:r>
      <w:proofErr w:type="spellStart"/>
      <w:r w:rsidRPr="00B13BC9">
        <w:rPr>
          <w:rFonts w:asciiTheme="minorHAnsi" w:hAnsiTheme="minorHAnsi" w:cstheme="minorHAnsi"/>
          <w:b w:val="0"/>
          <w:bCs w:val="0"/>
          <w:color w:val="222222"/>
          <w:sz w:val="22"/>
          <w:szCs w:val="22"/>
        </w:rPr>
        <w:t>LgY</w:t>
      </w:r>
      <w:proofErr w:type="spellEnd"/>
      <w:r w:rsidRPr="00B13BC9">
        <w:rPr>
          <w:rFonts w:asciiTheme="minorHAnsi" w:hAnsiTheme="minorHAnsi" w:cstheme="minorHAnsi"/>
          <w:b w:val="0"/>
          <w:bCs w:val="0"/>
          <w:color w:val="222222"/>
          <w:sz w:val="22"/>
          <w:szCs w:val="22"/>
        </w:rPr>
        <w:t xml:space="preserve"> 6mm żółto-zielony</w:t>
      </w:r>
      <w:r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zamocowany do bednarki za pomocą śruby</w:t>
      </w:r>
      <w:r w:rsidR="00EC3D02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co najmniej M6</w:t>
      </w:r>
      <w:r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skręconej nakrętką z podkładkami okrągłą</w:t>
      </w:r>
      <w:r w:rsidR="0027700E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</w:t>
      </w:r>
      <w:r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>i</w:t>
      </w:r>
      <w:r w:rsidR="0027700E">
        <w:rPr>
          <w:rFonts w:asciiTheme="minorHAnsi" w:hAnsiTheme="minorHAnsi" w:cstheme="minorHAnsi"/>
          <w:b w:val="0"/>
          <w:bCs w:val="0"/>
          <w:sz w:val="22"/>
          <w:szCs w:val="22"/>
        </w:rPr>
        <w:t>  </w:t>
      </w:r>
      <w:r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>sprężystą lub za pomocą zacisków szynowych</w:t>
      </w:r>
    </w:p>
    <w:p w14:paraId="34FCEE27" w14:textId="39CCC86D" w:rsidR="00CF123F" w:rsidRDefault="002D12AB" w:rsidP="00CF123F">
      <w:pPr>
        <w:pStyle w:val="Nagwek1"/>
        <w:keepNext/>
        <w:shd w:val="clear" w:color="auto" w:fill="FFFFFF"/>
        <w:spacing w:before="0" w:beforeAutospacing="0" w:after="120" w:afterAutospacing="0" w:line="276" w:lineRule="auto"/>
        <w:ind w:left="360"/>
      </w:pPr>
      <w:r w:rsidRPr="00B13BC9">
        <w:rPr>
          <w:rFonts w:asciiTheme="minorHAnsi" w:hAnsiTheme="minorHAnsi" w:cstheme="minorHAnsi"/>
          <w:b w:val="0"/>
          <w:bCs w:val="0"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722B5E2A" wp14:editId="519B56B0">
            <wp:simplePos x="0" y="0"/>
            <wp:positionH relativeFrom="margin">
              <wp:posOffset>176530</wp:posOffset>
            </wp:positionH>
            <wp:positionV relativeFrom="paragraph">
              <wp:posOffset>14605</wp:posOffset>
            </wp:positionV>
            <wp:extent cx="1936750" cy="3038475"/>
            <wp:effectExtent l="0" t="0" r="6350" b="9525"/>
            <wp:wrapTight wrapText="bothSides">
              <wp:wrapPolygon edited="0">
                <wp:start x="0" y="0"/>
                <wp:lineTo x="0" y="21532"/>
                <wp:lineTo x="21458" y="21532"/>
                <wp:lineTo x="21458" y="0"/>
                <wp:lineTo x="0" y="0"/>
              </wp:wrapPolygon>
            </wp:wrapTight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675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123F" w:rsidRPr="00B13BC9"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16EF620D" wp14:editId="398CF19B">
                <wp:simplePos x="0" y="0"/>
                <wp:positionH relativeFrom="column">
                  <wp:posOffset>160020</wp:posOffset>
                </wp:positionH>
                <wp:positionV relativeFrom="paragraph">
                  <wp:posOffset>3632200</wp:posOffset>
                </wp:positionV>
                <wp:extent cx="5116195" cy="635"/>
                <wp:effectExtent l="0" t="0" r="8255" b="2540"/>
                <wp:wrapTight wrapText="bothSides">
                  <wp:wrapPolygon edited="0">
                    <wp:start x="0" y="0"/>
                    <wp:lineTo x="0" y="20420"/>
                    <wp:lineTo x="21554" y="20420"/>
                    <wp:lineTo x="21554" y="0"/>
                    <wp:lineTo x="0" y="0"/>
                  </wp:wrapPolygon>
                </wp:wrapTight>
                <wp:docPr id="1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619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F3A4A98" w14:textId="7A6A6962" w:rsidR="00344C7F" w:rsidRPr="00CF123F" w:rsidRDefault="00344C7F" w:rsidP="00344C7F">
                            <w:pPr>
                              <w:pStyle w:val="Legenda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auto"/>
                                <w:kern w:val="36"/>
                                <w:sz w:val="22"/>
                                <w:szCs w:val="22"/>
                              </w:rPr>
                            </w:pPr>
                            <w:r w:rsidRPr="00CF123F">
                              <w:rPr>
                                <w:sz w:val="22"/>
                                <w:szCs w:val="22"/>
                              </w:rPr>
                              <w:t xml:space="preserve">Rys. </w:t>
                            </w:r>
                            <w:r w:rsidRPr="00CF123F">
                              <w:rPr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Pr="00CF123F">
                              <w:rPr>
                                <w:sz w:val="22"/>
                                <w:szCs w:val="22"/>
                              </w:rPr>
                              <w:instrText xml:space="preserve"> SEQ Rysunek \* ARABIC </w:instrText>
                            </w:r>
                            <w:r w:rsidRPr="00CF123F">
                              <w:rPr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="00DA10F0">
                              <w:rPr>
                                <w:noProof/>
                                <w:sz w:val="22"/>
                                <w:szCs w:val="22"/>
                              </w:rPr>
                              <w:t>1</w:t>
                            </w:r>
                            <w:r w:rsidRPr="00CF123F">
                              <w:rPr>
                                <w:noProof/>
                                <w:sz w:val="22"/>
                                <w:szCs w:val="22"/>
                              </w:rPr>
                              <w:fldChar w:fldCharType="end"/>
                            </w:r>
                            <w:r w:rsidRPr="00CF123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CF123F" w:rsidRPr="00CF123F">
                              <w:rPr>
                                <w:sz w:val="22"/>
                                <w:szCs w:val="22"/>
                              </w:rPr>
                              <w:t>Przykład zastosowania zacisków szynowych i połączenia przewodu za pomocą śrub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6EF620D" id="_x0000_t202" coordsize="21600,21600" o:spt="202" path="m,l,21600r21600,l21600,xe">
                <v:stroke joinstyle="miter"/>
                <v:path gradientshapeok="t" o:connecttype="rect"/>
              </v:shapetype>
              <v:shape id="Pole tekstowe 1" o:spid="_x0000_s1026" type="#_x0000_t202" style="position:absolute;left:0;text-align:left;margin-left:12.6pt;margin-top:286pt;width:402.85pt;height:.05pt;z-index:-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" stroked="f">
                <v:textbox style="mso-fit-shape-to-text:t" inset="0,0,0,0">
                  <w:txbxContent>
                    <w:p w14:paraId="5F3A4A98" w14:textId="7A6A6962" w:rsidR="00344C7F" w:rsidRPr="00CF123F" w:rsidRDefault="00344C7F" w:rsidP="00344C7F">
                      <w:pPr>
                        <w:pStyle w:val="Legenda"/>
                        <w:rPr>
                          <w:rFonts w:ascii="Times New Roman" w:eastAsia="Times New Roman" w:hAnsi="Times New Roman" w:cs="Times New Roman"/>
                          <w:noProof/>
                          <w:color w:val="auto"/>
                          <w:kern w:val="36"/>
                          <w:sz w:val="22"/>
                          <w:szCs w:val="22"/>
                        </w:rPr>
                      </w:pPr>
                      <w:r w:rsidRPr="00CF123F">
                        <w:rPr>
                          <w:sz w:val="22"/>
                          <w:szCs w:val="22"/>
                        </w:rPr>
                        <w:t xml:space="preserve">Rys. </w:t>
                      </w:r>
                      <w:r w:rsidRPr="00CF123F">
                        <w:rPr>
                          <w:sz w:val="22"/>
                          <w:szCs w:val="22"/>
                        </w:rPr>
                        <w:fldChar w:fldCharType="begin"/>
                      </w:r>
                      <w:r w:rsidRPr="00CF123F">
                        <w:rPr>
                          <w:sz w:val="22"/>
                          <w:szCs w:val="22"/>
                        </w:rPr>
                        <w:instrText xml:space="preserve"> SEQ Rysunek \* ARABIC </w:instrText>
                      </w:r>
                      <w:r w:rsidRPr="00CF123F">
                        <w:rPr>
                          <w:sz w:val="22"/>
                          <w:szCs w:val="22"/>
                        </w:rPr>
                        <w:fldChar w:fldCharType="separate"/>
                      </w:r>
                      <w:r w:rsidR="00DA10F0">
                        <w:rPr>
                          <w:noProof/>
                          <w:sz w:val="22"/>
                          <w:szCs w:val="22"/>
                        </w:rPr>
                        <w:t>1</w:t>
                      </w:r>
                      <w:r w:rsidRPr="00CF123F">
                        <w:rPr>
                          <w:noProof/>
                          <w:sz w:val="22"/>
                          <w:szCs w:val="22"/>
                        </w:rPr>
                        <w:fldChar w:fldCharType="end"/>
                      </w:r>
                      <w:r w:rsidRPr="00CF123F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CF123F" w:rsidRPr="00CF123F">
                        <w:rPr>
                          <w:sz w:val="22"/>
                          <w:szCs w:val="22"/>
                        </w:rPr>
                        <w:t>Przykład zastosowania zacisków szynowych i połączenia przewodu za pomocą śrub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879A7">
        <w:rPr>
          <w:rFonts w:asciiTheme="minorHAnsi" w:hAnsiTheme="minorHAnsi" w:cstheme="minorHAnsi"/>
          <w:b w:val="0"/>
          <w:bCs w:val="0"/>
          <w:noProof/>
          <w:sz w:val="22"/>
          <w:szCs w:val="22"/>
        </w:rPr>
        <w:drawing>
          <wp:inline distT="0" distB="0" distL="0" distR="0" wp14:anchorId="2D0E2812" wp14:editId="1C9BC678">
            <wp:extent cx="3057527" cy="2293145"/>
            <wp:effectExtent l="127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069913" cy="230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2F3BC" w14:textId="191D33F4" w:rsidR="00344C7F" w:rsidRPr="00B13BC9" w:rsidRDefault="00344C7F" w:rsidP="00344C7F">
      <w:pPr>
        <w:pStyle w:val="Nagwek1"/>
        <w:shd w:val="clear" w:color="auto" w:fill="FFFFFF"/>
        <w:spacing w:before="0" w:beforeAutospacing="0" w:after="120" w:afterAutospacing="0" w:line="276" w:lineRule="auto"/>
        <w:ind w:left="360"/>
        <w:rPr>
          <w:rFonts w:asciiTheme="minorHAnsi" w:hAnsiTheme="minorHAnsi" w:cstheme="minorHAnsi"/>
          <w:b w:val="0"/>
          <w:bCs w:val="0"/>
          <w:noProof/>
          <w:sz w:val="22"/>
          <w:szCs w:val="22"/>
        </w:rPr>
      </w:pPr>
    </w:p>
    <w:p w14:paraId="52C3218C" w14:textId="77777777" w:rsidR="00344C7F" w:rsidRPr="00B13BC9" w:rsidRDefault="00344C7F" w:rsidP="00CF123F">
      <w:pPr>
        <w:pStyle w:val="Nagwek1"/>
        <w:shd w:val="clear" w:color="auto" w:fill="FFFFFF"/>
        <w:spacing w:before="0" w:beforeAutospacing="0" w:after="120" w:afterAutospacing="0" w:line="276" w:lineRule="auto"/>
        <w:rPr>
          <w:rFonts w:asciiTheme="minorHAnsi" w:hAnsiTheme="minorHAnsi" w:cstheme="minorHAnsi"/>
          <w:b w:val="0"/>
          <w:bCs w:val="0"/>
          <w:sz w:val="22"/>
          <w:szCs w:val="22"/>
        </w:rPr>
      </w:pPr>
    </w:p>
    <w:p w14:paraId="22EAE6FB" w14:textId="118983FB" w:rsidR="00344C7F" w:rsidRPr="00B13BC9" w:rsidRDefault="00344C7F" w:rsidP="00FE3BE8">
      <w:pPr>
        <w:pStyle w:val="Nagwek1"/>
        <w:numPr>
          <w:ilvl w:val="0"/>
          <w:numId w:val="2"/>
        </w:numPr>
        <w:shd w:val="clear" w:color="auto" w:fill="FFFFFF"/>
        <w:spacing w:before="0" w:beforeAutospacing="0" w:after="120" w:afterAutospacing="0" w:line="276" w:lineRule="auto"/>
        <w:rPr>
          <w:rFonts w:asciiTheme="minorHAnsi" w:hAnsiTheme="minorHAnsi" w:cstheme="minorHAnsi"/>
          <w:b w:val="0"/>
          <w:bCs w:val="0"/>
          <w:sz w:val="22"/>
          <w:szCs w:val="22"/>
        </w:rPr>
      </w:pPr>
      <w:r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lastRenderedPageBreak/>
        <w:t xml:space="preserve">  W przypadku zastosowania połączenia skręcanego na śruby  należy zastosować końcówki oczkowe na końcówkach przewodów.</w:t>
      </w:r>
    </w:p>
    <w:p w14:paraId="28ABECF9" w14:textId="77777777" w:rsidR="00344C7F" w:rsidRPr="00B13BC9" w:rsidRDefault="00344C7F" w:rsidP="00344C7F">
      <w:pPr>
        <w:pStyle w:val="Nagwek1"/>
        <w:shd w:val="clear" w:color="auto" w:fill="FFFFFF"/>
        <w:spacing w:before="0" w:beforeAutospacing="0" w:after="120" w:afterAutospacing="0" w:line="276" w:lineRule="auto"/>
        <w:ind w:left="360"/>
        <w:rPr>
          <w:rFonts w:asciiTheme="minorHAnsi" w:hAnsiTheme="minorHAnsi" w:cstheme="minorHAnsi"/>
          <w:b w:val="0"/>
          <w:bCs w:val="0"/>
          <w:noProof/>
          <w:sz w:val="22"/>
          <w:szCs w:val="22"/>
        </w:rPr>
      </w:pPr>
    </w:p>
    <w:p w14:paraId="66AED25D" w14:textId="77777777" w:rsidR="00344C7F" w:rsidRPr="00B13BC9" w:rsidRDefault="00344C7F" w:rsidP="00344C7F">
      <w:pPr>
        <w:pStyle w:val="Nagwek1"/>
        <w:keepNext/>
        <w:shd w:val="clear" w:color="auto" w:fill="FFFFFF"/>
        <w:spacing w:before="0" w:beforeAutospacing="0" w:after="120" w:afterAutospacing="0" w:line="276" w:lineRule="auto"/>
        <w:ind w:left="360"/>
        <w:rPr>
          <w:rFonts w:asciiTheme="minorHAnsi" w:hAnsiTheme="minorHAnsi" w:cstheme="minorHAnsi"/>
          <w:sz w:val="22"/>
          <w:szCs w:val="22"/>
        </w:rPr>
      </w:pPr>
      <w:r w:rsidRPr="00B13BC9">
        <w:rPr>
          <w:rFonts w:asciiTheme="minorHAnsi" w:hAnsiTheme="minorHAnsi" w:cstheme="minorHAnsi"/>
          <w:b w:val="0"/>
          <w:bCs w:val="0"/>
          <w:noProof/>
          <w:sz w:val="22"/>
          <w:szCs w:val="22"/>
        </w:rPr>
        <w:drawing>
          <wp:inline distT="0" distB="0" distL="0" distR="0" wp14:anchorId="782A8CC1" wp14:editId="1366CE03">
            <wp:extent cx="2623010" cy="1844904"/>
            <wp:effectExtent l="7937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88" t="5042" r="35054" b="42762"/>
                    <a:stretch/>
                  </pic:blipFill>
                  <pic:spPr bwMode="auto">
                    <a:xfrm rot="5400000">
                      <a:off x="0" y="0"/>
                      <a:ext cx="2632655" cy="18516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C925AE" w14:textId="570FE87E" w:rsidR="00344C7F" w:rsidRPr="00B13BC9" w:rsidRDefault="00344C7F" w:rsidP="00FE3BE8">
      <w:pPr>
        <w:pStyle w:val="Legenda"/>
        <w:spacing w:line="276" w:lineRule="auto"/>
        <w:ind w:firstLine="360"/>
        <w:rPr>
          <w:rFonts w:cstheme="minorHAnsi"/>
          <w:b/>
          <w:bCs/>
          <w:sz w:val="22"/>
          <w:szCs w:val="22"/>
        </w:rPr>
      </w:pPr>
      <w:r w:rsidRPr="00B13BC9">
        <w:rPr>
          <w:rFonts w:cstheme="minorHAnsi"/>
          <w:sz w:val="22"/>
          <w:szCs w:val="22"/>
        </w:rPr>
        <w:t>Rys.</w:t>
      </w:r>
      <w:r w:rsidR="002D12AB">
        <w:rPr>
          <w:rFonts w:cstheme="minorHAnsi"/>
          <w:sz w:val="22"/>
          <w:szCs w:val="22"/>
        </w:rPr>
        <w:t>2</w:t>
      </w:r>
      <w:r w:rsidRPr="00B13BC9">
        <w:rPr>
          <w:rFonts w:cstheme="minorHAnsi"/>
          <w:sz w:val="22"/>
          <w:szCs w:val="22"/>
        </w:rPr>
        <w:t xml:space="preserve"> Zastosowanie końcówki oczkowej</w:t>
      </w:r>
    </w:p>
    <w:p w14:paraId="4EB773A1" w14:textId="00BAAB15" w:rsidR="00344C7F" w:rsidRPr="00B13BC9" w:rsidRDefault="00FE3BE8" w:rsidP="00FE3BE8">
      <w:pPr>
        <w:pStyle w:val="Nagwek1"/>
        <w:shd w:val="clear" w:color="auto" w:fill="FFFFFF"/>
        <w:spacing w:before="0" w:beforeAutospacing="0" w:after="120" w:afterAutospacing="0" w:line="276" w:lineRule="auto"/>
        <w:ind w:left="360"/>
        <w:rPr>
          <w:rFonts w:asciiTheme="minorHAnsi" w:hAnsiTheme="minorHAnsi" w:cstheme="minorHAnsi"/>
          <w:b w:val="0"/>
          <w:bCs w:val="0"/>
          <w:sz w:val="22"/>
          <w:szCs w:val="22"/>
        </w:rPr>
      </w:pPr>
      <w:r w:rsidRPr="00FE3BE8">
        <w:rPr>
          <w:rFonts w:asciiTheme="minorHAnsi" w:hAnsiTheme="minorHAnsi" w:cstheme="minorHAnsi"/>
          <w:sz w:val="22"/>
          <w:szCs w:val="22"/>
        </w:rPr>
        <w:t>5)</w:t>
      </w:r>
      <w:r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  </w:t>
      </w:r>
      <w:r w:rsidR="00344C7F"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Połączenia wyrównawcze powinny mieć kolor żółto-zielony, w przypadku zastosowania bednarki należy pomalować ją na wyżej wymieniony kolor lub zastosować specjalną taśmę żółtozieloną.</w:t>
      </w:r>
    </w:p>
    <w:p w14:paraId="6EDBC525" w14:textId="3245D33A" w:rsidR="00344C7F" w:rsidRPr="00B13BC9" w:rsidRDefault="00FE3BE8" w:rsidP="00344C7F">
      <w:pPr>
        <w:pStyle w:val="Nagwek1"/>
        <w:shd w:val="clear" w:color="auto" w:fill="FFFFFF"/>
        <w:spacing w:before="0" w:beforeAutospacing="0" w:after="120" w:afterAutospacing="0" w:line="276" w:lineRule="auto"/>
        <w:ind w:left="360"/>
        <w:rPr>
          <w:rFonts w:asciiTheme="minorHAnsi" w:hAnsiTheme="minorHAnsi" w:cstheme="minorHAnsi"/>
          <w:b w:val="0"/>
          <w:bCs w:val="0"/>
          <w:sz w:val="22"/>
          <w:szCs w:val="22"/>
        </w:rPr>
      </w:pPr>
      <w:r w:rsidRPr="00FE3BE8">
        <w:rPr>
          <w:rFonts w:asciiTheme="minorHAnsi" w:hAnsiTheme="minorHAnsi" w:cstheme="minorHAnsi"/>
          <w:sz w:val="22"/>
          <w:szCs w:val="22"/>
        </w:rPr>
        <w:t>6</w:t>
      </w:r>
      <w:r w:rsidR="00344C7F" w:rsidRPr="00FE3BE8">
        <w:rPr>
          <w:rFonts w:asciiTheme="minorHAnsi" w:hAnsiTheme="minorHAnsi" w:cstheme="minorHAnsi"/>
          <w:sz w:val="22"/>
          <w:szCs w:val="22"/>
        </w:rPr>
        <w:t>)</w:t>
      </w:r>
      <w:r w:rsidR="00344C7F"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</w:t>
      </w:r>
      <w:r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</w:t>
      </w:r>
      <w:r>
        <w:rPr>
          <w:rFonts w:asciiTheme="minorHAnsi" w:hAnsiTheme="minorHAnsi" w:cstheme="minorHAnsi"/>
          <w:b w:val="0"/>
          <w:bCs w:val="0"/>
          <w:sz w:val="22"/>
          <w:szCs w:val="22"/>
        </w:rPr>
        <w:tab/>
      </w:r>
      <w:r w:rsidR="00344C7F"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>W przypadku wykonywania  tras, drabin lub koryt kablowych konieczne jest podłączenie ich do szyny wyrównawczej i zapewnienie ciągłości trasy (w przypadku zastosowania systemu baks, należy używać odpowiednich złączek między poszczególnymi modułami, skręconymi po dwie śruby z każdej strony).</w:t>
      </w:r>
    </w:p>
    <w:p w14:paraId="00271E99" w14:textId="77777777" w:rsidR="00344C7F" w:rsidRPr="00B13BC9" w:rsidRDefault="00344C7F" w:rsidP="00344C7F">
      <w:pPr>
        <w:pStyle w:val="Nagwek1"/>
        <w:keepNext/>
        <w:shd w:val="clear" w:color="auto" w:fill="FFFFFF"/>
        <w:spacing w:before="0" w:beforeAutospacing="0" w:after="120" w:afterAutospacing="0" w:line="276" w:lineRule="auto"/>
        <w:ind w:left="360"/>
        <w:rPr>
          <w:rFonts w:asciiTheme="minorHAnsi" w:hAnsiTheme="minorHAnsi" w:cstheme="minorHAnsi"/>
          <w:sz w:val="22"/>
          <w:szCs w:val="22"/>
        </w:rPr>
      </w:pPr>
      <w:r w:rsidRPr="00B13BC9">
        <w:rPr>
          <w:rFonts w:asciiTheme="minorHAnsi" w:hAnsiTheme="minorHAnsi" w:cstheme="minorHAnsi"/>
          <w:b w:val="0"/>
          <w:bCs w:val="0"/>
          <w:noProof/>
          <w:sz w:val="22"/>
          <w:szCs w:val="22"/>
        </w:rPr>
        <w:drawing>
          <wp:inline distT="0" distB="0" distL="0" distR="0" wp14:anchorId="69FA1357" wp14:editId="39C4F109">
            <wp:extent cx="1800225" cy="2400300"/>
            <wp:effectExtent l="0" t="0" r="952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8021" cy="241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D7453" w14:textId="7C235DA4" w:rsidR="00344C7F" w:rsidRPr="00B13BC9" w:rsidRDefault="00344C7F" w:rsidP="0023755D">
      <w:pPr>
        <w:pStyle w:val="Legenda"/>
        <w:spacing w:line="276" w:lineRule="auto"/>
        <w:ind w:firstLine="360"/>
        <w:rPr>
          <w:rFonts w:cstheme="minorHAnsi"/>
          <w:sz w:val="22"/>
          <w:szCs w:val="22"/>
        </w:rPr>
      </w:pPr>
      <w:r w:rsidRPr="00B13BC9">
        <w:rPr>
          <w:rFonts w:cstheme="minorHAnsi"/>
          <w:sz w:val="22"/>
          <w:szCs w:val="22"/>
        </w:rPr>
        <w:t>Rys.</w:t>
      </w:r>
      <w:r w:rsidR="00C34455">
        <w:rPr>
          <w:rFonts w:cstheme="minorHAnsi"/>
          <w:sz w:val="22"/>
          <w:szCs w:val="22"/>
        </w:rPr>
        <w:t>3</w:t>
      </w:r>
      <w:r w:rsidRPr="00B13BC9">
        <w:rPr>
          <w:rFonts w:cstheme="minorHAnsi"/>
          <w:sz w:val="22"/>
          <w:szCs w:val="22"/>
        </w:rPr>
        <w:t xml:space="preserve"> Prawidłowe połączenie modułów BAKS</w:t>
      </w:r>
    </w:p>
    <w:p w14:paraId="1FF47C75" w14:textId="185705A3" w:rsidR="00344C7F" w:rsidRDefault="00344C7F" w:rsidP="00FE3BE8">
      <w:pPr>
        <w:spacing w:line="276" w:lineRule="auto"/>
        <w:ind w:firstLine="360"/>
        <w:rPr>
          <w:rFonts w:cstheme="minorHAnsi"/>
        </w:rPr>
      </w:pPr>
      <w:r w:rsidRPr="00B13BC9">
        <w:rPr>
          <w:rFonts w:cstheme="minorHAnsi"/>
        </w:rPr>
        <w:t>W innym przypadku należy zastosować połączenia wyrównawcze miedzy korytami.</w:t>
      </w:r>
    </w:p>
    <w:p w14:paraId="5D800C37" w14:textId="77777777" w:rsidR="00C34455" w:rsidRPr="00B13BC9" w:rsidRDefault="00C34455" w:rsidP="00344C7F">
      <w:pPr>
        <w:spacing w:line="276" w:lineRule="auto"/>
        <w:rPr>
          <w:rFonts w:cstheme="minorHAnsi"/>
        </w:rPr>
      </w:pPr>
    </w:p>
    <w:p w14:paraId="01575060" w14:textId="3DA45CCB" w:rsidR="00344C7F" w:rsidRPr="00DA10F0" w:rsidRDefault="00FE3BE8" w:rsidP="00DA10F0">
      <w:pPr>
        <w:pStyle w:val="Nagwek1"/>
        <w:shd w:val="clear" w:color="auto" w:fill="FFFFFF"/>
        <w:spacing w:before="0" w:beforeAutospacing="0" w:after="120" w:afterAutospacing="0" w:line="360" w:lineRule="auto"/>
        <w:ind w:left="360" w:firstLine="120"/>
        <w:rPr>
          <w:rFonts w:asciiTheme="minorHAnsi" w:hAnsiTheme="minorHAnsi" w:cstheme="minorHAnsi"/>
          <w:b w:val="0"/>
          <w:bCs w:val="0"/>
          <w:sz w:val="24"/>
          <w:szCs w:val="24"/>
        </w:rPr>
      </w:pPr>
      <w:r w:rsidRPr="00FE3BE8">
        <w:rPr>
          <w:rFonts w:asciiTheme="minorHAnsi" w:hAnsiTheme="minorHAnsi" w:cstheme="minorHAnsi"/>
          <w:sz w:val="24"/>
          <w:szCs w:val="24"/>
        </w:rPr>
        <w:lastRenderedPageBreak/>
        <w:t>7)</w:t>
      </w:r>
      <w:r>
        <w:rPr>
          <w:rFonts w:asciiTheme="minorHAnsi" w:hAnsiTheme="minorHAnsi" w:cstheme="minorHAnsi"/>
          <w:b w:val="0"/>
          <w:bCs w:val="0"/>
          <w:sz w:val="24"/>
          <w:szCs w:val="24"/>
        </w:rPr>
        <w:t xml:space="preserve"> </w:t>
      </w:r>
      <w:r w:rsidR="00344C7F" w:rsidRPr="00DA10F0">
        <w:rPr>
          <w:rFonts w:asciiTheme="minorHAnsi" w:hAnsiTheme="minorHAnsi" w:cstheme="minorHAnsi"/>
          <w:b w:val="0"/>
          <w:bCs w:val="0"/>
          <w:sz w:val="24"/>
          <w:szCs w:val="24"/>
        </w:rPr>
        <w:t xml:space="preserve"> Połączenie wyrównawcze główne powinno być połączone z zaciskiem PE w</w:t>
      </w:r>
      <w:r w:rsidR="0027700E">
        <w:rPr>
          <w:rFonts w:asciiTheme="minorHAnsi" w:hAnsiTheme="minorHAnsi" w:cstheme="minorHAnsi"/>
          <w:b w:val="0"/>
          <w:bCs w:val="0"/>
          <w:sz w:val="24"/>
          <w:szCs w:val="24"/>
        </w:rPr>
        <w:t> </w:t>
      </w:r>
      <w:r w:rsidR="00344C7F" w:rsidRPr="00DA10F0">
        <w:rPr>
          <w:rFonts w:asciiTheme="minorHAnsi" w:hAnsiTheme="minorHAnsi" w:cstheme="minorHAnsi"/>
          <w:b w:val="0"/>
          <w:bCs w:val="0"/>
          <w:sz w:val="24"/>
          <w:szCs w:val="24"/>
        </w:rPr>
        <w:t>rozdzielnicy węzła.</w:t>
      </w:r>
    </w:p>
    <w:p w14:paraId="7A266B23" w14:textId="29C9F1E8" w:rsidR="00C34455" w:rsidRPr="00DA10F0" w:rsidRDefault="00C34455" w:rsidP="00DA10F0">
      <w:pPr>
        <w:pStyle w:val="Nagwek1"/>
        <w:shd w:val="clear" w:color="auto" w:fill="FFFFFF"/>
        <w:spacing w:before="0" w:beforeAutospacing="0" w:after="120" w:afterAutospacing="0" w:line="360" w:lineRule="auto"/>
        <w:ind w:left="360" w:firstLine="120"/>
        <w:rPr>
          <w:rFonts w:asciiTheme="minorHAnsi" w:hAnsiTheme="minorHAnsi" w:cstheme="minorHAnsi"/>
          <w:b w:val="0"/>
          <w:bCs w:val="0"/>
          <w:sz w:val="24"/>
          <w:szCs w:val="24"/>
        </w:rPr>
      </w:pPr>
    </w:p>
    <w:p w14:paraId="0DB32B60" w14:textId="10D1F902" w:rsidR="00344C7F" w:rsidRPr="00DA10F0" w:rsidRDefault="00FE3BE8" w:rsidP="009B6316">
      <w:pPr>
        <w:pStyle w:val="Nagwek1"/>
        <w:shd w:val="clear" w:color="auto" w:fill="FFFFFF"/>
        <w:spacing w:before="0" w:beforeAutospacing="0" w:after="120" w:afterAutospacing="0" w:line="360" w:lineRule="auto"/>
        <w:ind w:left="480"/>
        <w:rPr>
          <w:rFonts w:asciiTheme="minorHAnsi" w:hAnsiTheme="minorHAnsi" w:cstheme="minorHAnsi"/>
          <w:b w:val="0"/>
          <w:bCs w:val="0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8</w:t>
      </w:r>
      <w:r w:rsidR="00344C7F" w:rsidRPr="00FE3BE8">
        <w:rPr>
          <w:rFonts w:asciiTheme="minorHAnsi" w:hAnsiTheme="minorHAnsi" w:cstheme="minorHAnsi"/>
          <w:sz w:val="24"/>
          <w:szCs w:val="24"/>
        </w:rPr>
        <w:t>)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="00344C7F" w:rsidRPr="00DA10F0">
        <w:rPr>
          <w:rFonts w:asciiTheme="minorHAnsi" w:hAnsiTheme="minorHAnsi" w:cstheme="minorHAnsi"/>
          <w:b w:val="0"/>
          <w:bCs w:val="0"/>
          <w:sz w:val="24"/>
          <w:szCs w:val="24"/>
        </w:rPr>
        <w:t xml:space="preserve"> Stelaż węzła powinien być połączony z połączeniem wyrównawczym głównym za pomocą bednarki.</w:t>
      </w:r>
    </w:p>
    <w:p w14:paraId="6E4B67C1" w14:textId="77777777" w:rsidR="0023755D" w:rsidRDefault="00C34455" w:rsidP="0023755D">
      <w:pPr>
        <w:pStyle w:val="Nagwek1"/>
        <w:keepNext/>
        <w:shd w:val="clear" w:color="auto" w:fill="FFFFFF"/>
        <w:spacing w:before="0" w:beforeAutospacing="0" w:after="120" w:afterAutospacing="0" w:line="276" w:lineRule="auto"/>
        <w:ind w:left="360" w:firstLine="120"/>
      </w:pPr>
      <w:r>
        <w:rPr>
          <w:rFonts w:asciiTheme="minorHAnsi" w:hAnsiTheme="minorHAnsi" w:cstheme="minorHAnsi"/>
          <w:b w:val="0"/>
          <w:bCs w:val="0"/>
          <w:noProof/>
          <w:sz w:val="22"/>
          <w:szCs w:val="22"/>
        </w:rPr>
        <w:drawing>
          <wp:inline distT="0" distB="0" distL="0" distR="0" wp14:anchorId="6FB3C25C" wp14:editId="3B49A7E4">
            <wp:extent cx="3463047" cy="2597285"/>
            <wp:effectExtent l="0" t="0" r="444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021" cy="263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2D5AD" w14:textId="05A219AE" w:rsidR="00C34455" w:rsidRDefault="0023755D" w:rsidP="0023755D">
      <w:pPr>
        <w:pStyle w:val="Legenda"/>
        <w:ind w:firstLine="480"/>
        <w:rPr>
          <w:sz w:val="22"/>
          <w:szCs w:val="22"/>
        </w:rPr>
      </w:pPr>
      <w:r w:rsidRPr="0023755D">
        <w:rPr>
          <w:sz w:val="22"/>
          <w:szCs w:val="22"/>
        </w:rPr>
        <w:t>Rys.4  Połączenie kompaktu z połączeniem wyrównawczym głównym</w:t>
      </w:r>
    </w:p>
    <w:p w14:paraId="36BFD372" w14:textId="77777777" w:rsidR="004632DD" w:rsidRPr="004632DD" w:rsidRDefault="004632DD" w:rsidP="004632DD"/>
    <w:p w14:paraId="2D93B3B4" w14:textId="6CFBFA1A" w:rsidR="00344C7F" w:rsidRPr="00DA10F0" w:rsidRDefault="009B6316" w:rsidP="009B6316">
      <w:pPr>
        <w:pStyle w:val="Nagwek1"/>
        <w:shd w:val="clear" w:color="auto" w:fill="FFFFFF"/>
        <w:spacing w:before="0" w:beforeAutospacing="0" w:after="120" w:afterAutospacing="0" w:line="360" w:lineRule="auto"/>
        <w:ind w:left="480"/>
        <w:rPr>
          <w:rFonts w:asciiTheme="minorHAnsi" w:hAnsiTheme="minorHAnsi" w:cstheme="minorHAnsi"/>
          <w:b w:val="0"/>
          <w:bCs w:val="0"/>
          <w:sz w:val="24"/>
          <w:szCs w:val="24"/>
        </w:rPr>
      </w:pPr>
      <w:r w:rsidRPr="009B6316">
        <w:rPr>
          <w:rFonts w:asciiTheme="minorHAnsi" w:hAnsiTheme="minorHAnsi" w:cstheme="minorHAnsi"/>
          <w:sz w:val="24"/>
          <w:szCs w:val="24"/>
        </w:rPr>
        <w:t>9)</w:t>
      </w:r>
      <w:r>
        <w:rPr>
          <w:rFonts w:asciiTheme="minorHAnsi" w:hAnsiTheme="minorHAnsi" w:cstheme="minorHAnsi"/>
          <w:b w:val="0"/>
          <w:bCs w:val="0"/>
          <w:sz w:val="24"/>
          <w:szCs w:val="24"/>
        </w:rPr>
        <w:t xml:space="preserve"> </w:t>
      </w:r>
      <w:r w:rsidR="00344C7F" w:rsidRPr="00DA10F0">
        <w:rPr>
          <w:rFonts w:asciiTheme="minorHAnsi" w:hAnsiTheme="minorHAnsi" w:cstheme="minorHAnsi"/>
          <w:b w:val="0"/>
          <w:bCs w:val="0"/>
          <w:sz w:val="24"/>
          <w:szCs w:val="24"/>
        </w:rPr>
        <w:t xml:space="preserve"> W miejscu wejścia połączenia wyrównawczego głównego  do węzła należy zastosować złącze pomiarowe w celu umożliwienia odbycia pomiarów kontrolnych</w:t>
      </w:r>
      <w:r w:rsidR="00DA10F0">
        <w:rPr>
          <w:rFonts w:asciiTheme="minorHAnsi" w:hAnsiTheme="minorHAnsi" w:cstheme="minorHAnsi"/>
          <w:b w:val="0"/>
          <w:bCs w:val="0"/>
          <w:sz w:val="24"/>
          <w:szCs w:val="24"/>
        </w:rPr>
        <w:t>.</w:t>
      </w:r>
    </w:p>
    <w:p w14:paraId="1661DDB7" w14:textId="77777777" w:rsidR="00344C7F" w:rsidRPr="00B13BC9" w:rsidRDefault="00344C7F" w:rsidP="00344C7F">
      <w:pPr>
        <w:pStyle w:val="Nagwek1"/>
        <w:shd w:val="clear" w:color="auto" w:fill="FFFFFF"/>
        <w:spacing w:before="0" w:beforeAutospacing="0" w:after="120" w:afterAutospacing="0" w:line="276" w:lineRule="auto"/>
        <w:ind w:left="360" w:firstLine="120"/>
        <w:rPr>
          <w:rFonts w:asciiTheme="minorHAnsi" w:hAnsiTheme="minorHAnsi" w:cstheme="minorHAnsi"/>
          <w:b w:val="0"/>
          <w:bCs w:val="0"/>
          <w:noProof/>
          <w:sz w:val="22"/>
          <w:szCs w:val="22"/>
        </w:rPr>
      </w:pPr>
    </w:p>
    <w:p w14:paraId="62B34DEA" w14:textId="0C71ECD2" w:rsidR="00255DAE" w:rsidRDefault="00344C7F" w:rsidP="00255DAE">
      <w:pPr>
        <w:pStyle w:val="Nagwek1"/>
        <w:keepNext/>
        <w:shd w:val="clear" w:color="auto" w:fill="FFFFFF"/>
        <w:spacing w:before="0" w:beforeAutospacing="0" w:after="120" w:afterAutospacing="0" w:line="276" w:lineRule="auto"/>
        <w:ind w:left="360" w:firstLine="120"/>
      </w:pPr>
      <w:r w:rsidRPr="00B13BC9">
        <w:rPr>
          <w:rFonts w:asciiTheme="minorHAnsi" w:hAnsiTheme="minorHAnsi" w:cstheme="minorHAnsi"/>
          <w:b w:val="0"/>
          <w:bCs w:val="0"/>
          <w:noProof/>
          <w:sz w:val="22"/>
          <w:szCs w:val="22"/>
        </w:rPr>
        <w:drawing>
          <wp:inline distT="0" distB="0" distL="0" distR="0" wp14:anchorId="535FA67B" wp14:editId="1782B013">
            <wp:extent cx="2762403" cy="2004322"/>
            <wp:effectExtent l="0" t="1905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09" t="41820" r="39479" b="15214"/>
                    <a:stretch/>
                  </pic:blipFill>
                  <pic:spPr bwMode="auto">
                    <a:xfrm rot="5400000">
                      <a:off x="0" y="0"/>
                      <a:ext cx="2770392" cy="2010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A10F0" w:rsidRPr="00B13BC9">
        <w:rPr>
          <w:rFonts w:asciiTheme="minorHAnsi" w:hAnsiTheme="minorHAnsi" w:cstheme="minorHAnsi"/>
          <w:b w:val="0"/>
          <w:bCs w:val="0"/>
          <w:noProof/>
          <w:sz w:val="22"/>
          <w:szCs w:val="22"/>
        </w:rPr>
        <w:drawing>
          <wp:inline distT="0" distB="0" distL="0" distR="0" wp14:anchorId="0996EF7C" wp14:editId="7E6E2E8D">
            <wp:extent cx="2758581" cy="2068936"/>
            <wp:effectExtent l="1905" t="0" r="5715" b="571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84834" cy="2088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5B01E" w14:textId="7750419F" w:rsidR="00344C7F" w:rsidRPr="00DA10F0" w:rsidRDefault="00255DAE" w:rsidP="009B6316">
      <w:pPr>
        <w:pStyle w:val="Legenda"/>
        <w:ind w:firstLine="480"/>
        <w:rPr>
          <w:sz w:val="22"/>
          <w:szCs w:val="22"/>
        </w:rPr>
      </w:pPr>
      <w:r w:rsidRPr="00DA10F0">
        <w:rPr>
          <w:sz w:val="22"/>
          <w:szCs w:val="22"/>
        </w:rPr>
        <w:t>Rys</w:t>
      </w:r>
      <w:r w:rsidR="00DA10F0" w:rsidRPr="00DA10F0">
        <w:rPr>
          <w:sz w:val="22"/>
          <w:szCs w:val="22"/>
        </w:rPr>
        <w:t xml:space="preserve">. 5 </w:t>
      </w:r>
      <w:r w:rsidRPr="00DA10F0">
        <w:rPr>
          <w:sz w:val="22"/>
          <w:szCs w:val="22"/>
        </w:rPr>
        <w:t>Przykładowe zastosowanie  zacisków pomiarowych</w:t>
      </w:r>
    </w:p>
    <w:p w14:paraId="6F3B0F7F" w14:textId="1A9ECB4B" w:rsidR="0023755D" w:rsidRDefault="009B6316" w:rsidP="009B6316">
      <w:pPr>
        <w:pStyle w:val="Nagwek1"/>
        <w:shd w:val="clear" w:color="auto" w:fill="FFFFFF"/>
        <w:spacing w:before="0" w:beforeAutospacing="0" w:after="120" w:afterAutospacing="0" w:line="276" w:lineRule="auto"/>
        <w:ind w:firstLine="360"/>
        <w:rPr>
          <w:rFonts w:asciiTheme="minorHAnsi" w:hAnsiTheme="minorHAnsi" w:cstheme="minorHAnsi"/>
          <w:b w:val="0"/>
          <w:bCs w:val="0"/>
          <w:sz w:val="22"/>
          <w:szCs w:val="22"/>
        </w:rPr>
      </w:pPr>
      <w:r w:rsidRPr="009B6316">
        <w:rPr>
          <w:rFonts w:asciiTheme="minorHAnsi" w:hAnsiTheme="minorHAnsi" w:cstheme="minorHAnsi"/>
          <w:sz w:val="22"/>
          <w:szCs w:val="22"/>
        </w:rPr>
        <w:lastRenderedPageBreak/>
        <w:t>10</w:t>
      </w:r>
      <w:r w:rsidR="00344C7F" w:rsidRPr="009B6316">
        <w:rPr>
          <w:rFonts w:asciiTheme="minorHAnsi" w:hAnsiTheme="minorHAnsi" w:cstheme="minorHAnsi"/>
          <w:sz w:val="22"/>
          <w:szCs w:val="22"/>
        </w:rPr>
        <w:t>)</w:t>
      </w:r>
      <w:r w:rsidR="00344C7F"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</w:t>
      </w:r>
      <w:r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</w:t>
      </w:r>
      <w:r w:rsidR="00344C7F"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Rezystancja uziemienia ochronnego powinna być &lt; </w:t>
      </w:r>
      <w:r w:rsidR="004632DD">
        <w:rPr>
          <w:rFonts w:asciiTheme="minorHAnsi" w:hAnsiTheme="minorHAnsi" w:cstheme="minorHAnsi"/>
          <w:b w:val="0"/>
          <w:bCs w:val="0"/>
          <w:sz w:val="22"/>
          <w:szCs w:val="22"/>
        </w:rPr>
        <w:t>1</w:t>
      </w:r>
      <w:r w:rsidR="00344C7F" w:rsidRPr="00B13BC9">
        <w:rPr>
          <w:rFonts w:asciiTheme="minorHAnsi" w:hAnsiTheme="minorHAnsi" w:cstheme="minorHAnsi"/>
          <w:b w:val="0"/>
          <w:bCs w:val="0"/>
          <w:sz w:val="22"/>
          <w:szCs w:val="22"/>
        </w:rPr>
        <w:t>0Ω.</w:t>
      </w:r>
    </w:p>
    <w:p w14:paraId="5AED5099" w14:textId="77777777" w:rsidR="00DA10F0" w:rsidRPr="00255DAE" w:rsidRDefault="00DA10F0" w:rsidP="00255DAE">
      <w:pPr>
        <w:pStyle w:val="Nagwek1"/>
        <w:shd w:val="clear" w:color="auto" w:fill="FFFFFF"/>
        <w:spacing w:before="0" w:beforeAutospacing="0" w:after="120" w:afterAutospacing="0" w:line="276" w:lineRule="auto"/>
        <w:ind w:left="360" w:firstLine="120"/>
        <w:rPr>
          <w:rFonts w:asciiTheme="minorHAnsi" w:hAnsiTheme="minorHAnsi" w:cstheme="minorHAnsi"/>
          <w:b w:val="0"/>
          <w:bCs w:val="0"/>
          <w:sz w:val="22"/>
          <w:szCs w:val="22"/>
        </w:rPr>
      </w:pPr>
    </w:p>
    <w:p w14:paraId="661AE496" w14:textId="7ED1D5E5" w:rsidR="00344C7F" w:rsidRDefault="00344C7F" w:rsidP="00344C7F">
      <w:pPr>
        <w:spacing w:line="276" w:lineRule="auto"/>
        <w:ind w:left="360"/>
        <w:rPr>
          <w:rFonts w:cstheme="minorHAnsi"/>
        </w:rPr>
      </w:pPr>
      <w:r w:rsidRPr="009B6316">
        <w:rPr>
          <w:rFonts w:cstheme="minorHAnsi"/>
          <w:b/>
          <w:bCs/>
        </w:rPr>
        <w:t>1</w:t>
      </w:r>
      <w:r w:rsidR="009B6316" w:rsidRPr="009B6316">
        <w:rPr>
          <w:rFonts w:cstheme="minorHAnsi"/>
          <w:b/>
          <w:bCs/>
        </w:rPr>
        <w:t>1</w:t>
      </w:r>
      <w:r w:rsidRPr="009B6316">
        <w:rPr>
          <w:rFonts w:cstheme="minorHAnsi"/>
          <w:b/>
          <w:bCs/>
        </w:rPr>
        <w:t>)</w:t>
      </w:r>
      <w:r w:rsidRPr="00B13BC9">
        <w:rPr>
          <w:rFonts w:cstheme="minorHAnsi"/>
        </w:rPr>
        <w:t xml:space="preserve"> </w:t>
      </w:r>
      <w:r w:rsidR="009B6316">
        <w:rPr>
          <w:rFonts w:cstheme="minorHAnsi"/>
        </w:rPr>
        <w:t xml:space="preserve"> </w:t>
      </w:r>
      <w:r w:rsidRPr="00B13BC9">
        <w:rPr>
          <w:rFonts w:cstheme="minorHAnsi"/>
        </w:rPr>
        <w:t xml:space="preserve">Wszystkie wchodzące i wychodzące rury metalowe z węzła cieplnego oraz dostępne części metalowe połączyć do instalacji wyrównawczej ( kominy wentylacyjne, instalacje gazowe, zimnej wody, futryny drzwi itp.) </w:t>
      </w:r>
    </w:p>
    <w:p w14:paraId="5307A49B" w14:textId="32E2B084" w:rsidR="00FA7ED8" w:rsidRPr="00FA7ED8" w:rsidRDefault="00FA7ED8" w:rsidP="00344C7F">
      <w:pPr>
        <w:spacing w:line="276" w:lineRule="auto"/>
        <w:ind w:left="360"/>
        <w:rPr>
          <w:rFonts w:cstheme="minorHAnsi"/>
        </w:rPr>
      </w:pPr>
      <w:r>
        <w:rPr>
          <w:rFonts w:cstheme="minorHAnsi"/>
        </w:rPr>
        <w:t>Połączenia wyrównawcze prowadzić tak, aby długość przewodu wyrównawczego nie była dłuższa niż 60cm.</w:t>
      </w:r>
    </w:p>
    <w:p w14:paraId="305A93C6" w14:textId="77777777" w:rsidR="00DA10F0" w:rsidRDefault="00DA10F0" w:rsidP="00DA10F0">
      <w:pPr>
        <w:keepNext/>
        <w:spacing w:line="276" w:lineRule="auto"/>
        <w:ind w:left="360"/>
      </w:pPr>
      <w:r>
        <w:rPr>
          <w:rFonts w:cstheme="minorHAnsi"/>
          <w:noProof/>
        </w:rPr>
        <w:drawing>
          <wp:inline distT="0" distB="0" distL="0" distR="0" wp14:anchorId="1959DFD2" wp14:editId="15D10B3A">
            <wp:extent cx="3501586" cy="6553200"/>
            <wp:effectExtent l="0" t="0" r="381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3287" cy="6593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043D5" w14:textId="5EE8D180" w:rsidR="00344C7F" w:rsidRPr="00DA10F0" w:rsidRDefault="00DA10F0" w:rsidP="00DA10F0">
      <w:pPr>
        <w:pStyle w:val="Legenda"/>
        <w:ind w:firstLine="360"/>
        <w:rPr>
          <w:rFonts w:cstheme="minorHAnsi"/>
          <w:sz w:val="22"/>
          <w:szCs w:val="22"/>
        </w:rPr>
      </w:pPr>
      <w:r w:rsidRPr="00DA10F0">
        <w:rPr>
          <w:sz w:val="22"/>
          <w:szCs w:val="22"/>
        </w:rPr>
        <w:t xml:space="preserve">Rys. 6 Przykładowe połączenia wyrównawcze </w:t>
      </w:r>
    </w:p>
    <w:p w14:paraId="663FA25C" w14:textId="77777777" w:rsidR="00344C7F" w:rsidRPr="00B13BC9" w:rsidRDefault="00344C7F" w:rsidP="00DA10F0">
      <w:pPr>
        <w:spacing w:line="276" w:lineRule="auto"/>
        <w:rPr>
          <w:rFonts w:cstheme="minorHAnsi"/>
        </w:rPr>
      </w:pPr>
    </w:p>
    <w:p w14:paraId="3244814F" w14:textId="456857D0" w:rsidR="00344C7F" w:rsidRPr="00B13BC9" w:rsidRDefault="00344C7F" w:rsidP="00344C7F">
      <w:pPr>
        <w:spacing w:line="276" w:lineRule="auto"/>
        <w:ind w:left="360"/>
        <w:rPr>
          <w:rFonts w:cstheme="minorHAnsi"/>
        </w:rPr>
      </w:pPr>
      <w:r w:rsidRPr="009B6316">
        <w:rPr>
          <w:rFonts w:cstheme="minorHAnsi"/>
          <w:b/>
          <w:bCs/>
        </w:rPr>
        <w:lastRenderedPageBreak/>
        <w:t>1</w:t>
      </w:r>
      <w:r w:rsidR="009B6316" w:rsidRPr="009B6316">
        <w:rPr>
          <w:rFonts w:cstheme="minorHAnsi"/>
          <w:b/>
          <w:bCs/>
        </w:rPr>
        <w:t>2</w:t>
      </w:r>
      <w:r w:rsidRPr="009B6316">
        <w:rPr>
          <w:rFonts w:cstheme="minorHAnsi"/>
          <w:b/>
          <w:bCs/>
        </w:rPr>
        <w:t>)</w:t>
      </w:r>
      <w:r w:rsidRPr="00B13BC9">
        <w:rPr>
          <w:rFonts w:cstheme="minorHAnsi"/>
        </w:rPr>
        <w:t xml:space="preserve"> </w:t>
      </w:r>
      <w:r w:rsidR="009B6316">
        <w:rPr>
          <w:rFonts w:cstheme="minorHAnsi"/>
        </w:rPr>
        <w:t xml:space="preserve"> </w:t>
      </w:r>
      <w:r w:rsidRPr="00B13BC9">
        <w:rPr>
          <w:rFonts w:cstheme="minorHAnsi"/>
        </w:rPr>
        <w:t>W przypadku ułożenia bednarki, która podzielona jest na kilka części należy zastosować w</w:t>
      </w:r>
      <w:r w:rsidR="0027700E">
        <w:rPr>
          <w:rFonts w:cstheme="minorHAnsi"/>
        </w:rPr>
        <w:t> </w:t>
      </w:r>
      <w:r w:rsidRPr="00B13BC9">
        <w:rPr>
          <w:rFonts w:cstheme="minorHAnsi"/>
        </w:rPr>
        <w:t>celu ich połączenia złącza krzyżowe</w:t>
      </w:r>
    </w:p>
    <w:p w14:paraId="09217E08" w14:textId="77777777" w:rsidR="00344C7F" w:rsidRPr="00B13BC9" w:rsidRDefault="00344C7F" w:rsidP="00344C7F">
      <w:pPr>
        <w:spacing w:line="276" w:lineRule="auto"/>
        <w:ind w:left="360"/>
        <w:rPr>
          <w:rFonts w:cstheme="minorHAnsi"/>
          <w:noProof/>
        </w:rPr>
      </w:pPr>
    </w:p>
    <w:p w14:paraId="67D4E101" w14:textId="77777777" w:rsidR="00DA10F0" w:rsidRDefault="00344C7F" w:rsidP="00DA10F0">
      <w:pPr>
        <w:keepNext/>
        <w:spacing w:line="276" w:lineRule="auto"/>
        <w:ind w:left="360"/>
      </w:pPr>
      <w:r w:rsidRPr="00B13BC9">
        <w:rPr>
          <w:rFonts w:cstheme="minorHAnsi"/>
          <w:noProof/>
        </w:rPr>
        <w:drawing>
          <wp:inline distT="0" distB="0" distL="0" distR="0" wp14:anchorId="0E6BB15D" wp14:editId="547FFCEC">
            <wp:extent cx="3418664" cy="2524125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10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65" t="36091" r="8582" b="18860"/>
                    <a:stretch/>
                  </pic:blipFill>
                  <pic:spPr bwMode="auto">
                    <a:xfrm>
                      <a:off x="0" y="0"/>
                      <a:ext cx="3424096" cy="2528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ECB393" w14:textId="4769184E" w:rsidR="00344C7F" w:rsidRDefault="00DA10F0" w:rsidP="00DA10F0">
      <w:pPr>
        <w:pStyle w:val="Legenda"/>
        <w:ind w:firstLine="360"/>
        <w:rPr>
          <w:sz w:val="22"/>
          <w:szCs w:val="22"/>
        </w:rPr>
      </w:pPr>
      <w:r w:rsidRPr="00DA10F0">
        <w:rPr>
          <w:sz w:val="22"/>
          <w:szCs w:val="22"/>
        </w:rPr>
        <w:t>Rys. 7 Połączenie bednarek za pomocą zacisku krzyżowego</w:t>
      </w:r>
    </w:p>
    <w:p w14:paraId="25D64626" w14:textId="77777777" w:rsidR="00DA10F0" w:rsidRPr="00DA10F0" w:rsidRDefault="00DA10F0" w:rsidP="00DA10F0"/>
    <w:p w14:paraId="67B1F0DB" w14:textId="56790172" w:rsidR="00344C7F" w:rsidRDefault="00344C7F" w:rsidP="00344C7F">
      <w:pPr>
        <w:pStyle w:val="Akapitzlist"/>
        <w:spacing w:line="276" w:lineRule="auto"/>
        <w:ind w:left="360"/>
        <w:rPr>
          <w:rFonts w:cstheme="minorHAnsi"/>
        </w:rPr>
      </w:pPr>
      <w:r w:rsidRPr="009B6316">
        <w:rPr>
          <w:rFonts w:cstheme="minorHAnsi"/>
          <w:b/>
          <w:bCs/>
        </w:rPr>
        <w:t>1</w:t>
      </w:r>
      <w:r w:rsidR="009B6316" w:rsidRPr="009B6316">
        <w:rPr>
          <w:rFonts w:cstheme="minorHAnsi"/>
          <w:b/>
          <w:bCs/>
        </w:rPr>
        <w:t>3</w:t>
      </w:r>
      <w:r w:rsidRPr="009B6316">
        <w:rPr>
          <w:rFonts w:cstheme="minorHAnsi"/>
          <w:b/>
          <w:bCs/>
        </w:rPr>
        <w:t>)</w:t>
      </w:r>
      <w:r w:rsidR="009B6316">
        <w:rPr>
          <w:rFonts w:cstheme="minorHAnsi"/>
        </w:rPr>
        <w:t xml:space="preserve">  </w:t>
      </w:r>
      <w:r w:rsidRPr="00B13BC9">
        <w:rPr>
          <w:rFonts w:cstheme="minorHAnsi"/>
        </w:rPr>
        <w:t xml:space="preserve"> W elementach wsporczo konstrukcyjnych nie wolno prowadzić przewodów.</w:t>
      </w:r>
    </w:p>
    <w:p w14:paraId="4F10A769" w14:textId="77777777" w:rsidR="00DA10F0" w:rsidRPr="00B13BC9" w:rsidRDefault="00DA10F0" w:rsidP="00344C7F">
      <w:pPr>
        <w:pStyle w:val="Akapitzlist"/>
        <w:spacing w:line="276" w:lineRule="auto"/>
        <w:ind w:left="360"/>
        <w:rPr>
          <w:rFonts w:cstheme="minorHAnsi"/>
        </w:rPr>
      </w:pPr>
    </w:p>
    <w:p w14:paraId="2C30D6D4" w14:textId="77777777" w:rsidR="00DA10F0" w:rsidRDefault="00344C7F" w:rsidP="00DA10F0">
      <w:pPr>
        <w:pStyle w:val="Akapitzlist"/>
        <w:keepNext/>
        <w:spacing w:line="276" w:lineRule="auto"/>
        <w:ind w:left="360"/>
      </w:pPr>
      <w:r w:rsidRPr="00B13BC9">
        <w:rPr>
          <w:rFonts w:cstheme="minorHAnsi"/>
          <w:noProof/>
        </w:rPr>
        <w:drawing>
          <wp:inline distT="0" distB="0" distL="0" distR="0" wp14:anchorId="4D16D628" wp14:editId="00229001">
            <wp:extent cx="3038475" cy="4051300"/>
            <wp:effectExtent l="0" t="0" r="9525" b="635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3035" cy="405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507F0" w14:textId="69D293AC" w:rsidR="00344C7F" w:rsidRPr="00AF5CE7" w:rsidRDefault="00DA10F0" w:rsidP="009B6316">
      <w:pPr>
        <w:pStyle w:val="Legenda"/>
        <w:ind w:firstLine="360"/>
        <w:rPr>
          <w:rFonts w:cstheme="minorHAnsi"/>
          <w:sz w:val="22"/>
          <w:szCs w:val="22"/>
        </w:rPr>
      </w:pPr>
      <w:r w:rsidRPr="00AF5CE7">
        <w:rPr>
          <w:sz w:val="22"/>
          <w:szCs w:val="22"/>
        </w:rPr>
        <w:t>Ry</w:t>
      </w:r>
      <w:r w:rsidR="00AF5CE7" w:rsidRPr="00AF5CE7">
        <w:rPr>
          <w:sz w:val="22"/>
          <w:szCs w:val="22"/>
        </w:rPr>
        <w:t xml:space="preserve">s. 8 </w:t>
      </w:r>
      <w:r w:rsidRPr="00AF5CE7">
        <w:rPr>
          <w:sz w:val="22"/>
          <w:szCs w:val="22"/>
        </w:rPr>
        <w:t>Przykład wykonania mocowania koryta kablowego za pomocą konstrukcji wsporczej</w:t>
      </w:r>
    </w:p>
    <w:sectPr w:rsidR="00344C7F" w:rsidRPr="00AF5C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B47F7B"/>
    <w:multiLevelType w:val="hybridMultilevel"/>
    <w:tmpl w:val="0C34688C"/>
    <w:lvl w:ilvl="0" w:tplc="1A2C877C">
      <w:start w:val="7"/>
      <w:numFmt w:val="bullet"/>
      <w:lvlText w:val=""/>
      <w:lvlJc w:val="left"/>
      <w:pPr>
        <w:ind w:left="840" w:hanging="360"/>
      </w:pPr>
      <w:rPr>
        <w:rFonts w:ascii="Symbol" w:eastAsia="Times New Roman" w:hAnsi="Symbol" w:cstheme="minorHAnsi" w:hint="default"/>
        <w:b/>
      </w:rPr>
    </w:lvl>
    <w:lvl w:ilvl="1" w:tplc="0415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" w15:restartNumberingAfterBreak="0">
    <w:nsid w:val="1C0774EE"/>
    <w:multiLevelType w:val="hybridMultilevel"/>
    <w:tmpl w:val="1F62516E"/>
    <w:lvl w:ilvl="0" w:tplc="B504E926">
      <w:start w:val="1"/>
      <w:numFmt w:val="decimal"/>
      <w:lvlText w:val="%1)"/>
      <w:lvlJc w:val="left"/>
      <w:pPr>
        <w:ind w:left="644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406E6F68"/>
    <w:multiLevelType w:val="hybridMultilevel"/>
    <w:tmpl w:val="C8AAB490"/>
    <w:lvl w:ilvl="0" w:tplc="185CDD7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70228908">
    <w:abstractNumId w:val="2"/>
  </w:num>
  <w:num w:numId="2" w16cid:durableId="1131050661">
    <w:abstractNumId w:val="1"/>
  </w:num>
  <w:num w:numId="3" w16cid:durableId="10037810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13CD"/>
    <w:rsid w:val="00056FEF"/>
    <w:rsid w:val="0006639B"/>
    <w:rsid w:val="0023755D"/>
    <w:rsid w:val="00255DAE"/>
    <w:rsid w:val="0027700E"/>
    <w:rsid w:val="002879A7"/>
    <w:rsid w:val="002D12AB"/>
    <w:rsid w:val="00344C7F"/>
    <w:rsid w:val="004632DD"/>
    <w:rsid w:val="00551FFD"/>
    <w:rsid w:val="006313CD"/>
    <w:rsid w:val="006924A7"/>
    <w:rsid w:val="00855BA2"/>
    <w:rsid w:val="009B6316"/>
    <w:rsid w:val="00AF5CE7"/>
    <w:rsid w:val="00C34455"/>
    <w:rsid w:val="00CF123F"/>
    <w:rsid w:val="00DA10F0"/>
    <w:rsid w:val="00EC3D02"/>
    <w:rsid w:val="00FA7ED8"/>
    <w:rsid w:val="00FE3B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93210D"/>
  <w15:chartTrackingRefBased/>
  <w15:docId w15:val="{D0D23DF5-2C98-4404-B693-723CD7C63E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uiPriority w:val="9"/>
    <w:qFormat/>
    <w:rsid w:val="00344C7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44C7F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Akapitzlist">
    <w:name w:val="List Paragraph"/>
    <w:basedOn w:val="Normalny"/>
    <w:uiPriority w:val="34"/>
    <w:qFormat/>
    <w:rsid w:val="00344C7F"/>
    <w:pPr>
      <w:ind w:left="72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344C7F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5</Pages>
  <Words>450</Words>
  <Characters>2702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Wrzesiński</dc:creator>
  <cp:keywords/>
  <dc:description/>
  <cp:lastModifiedBy>Tomasz Surma</cp:lastModifiedBy>
  <cp:revision>14</cp:revision>
  <dcterms:created xsi:type="dcterms:W3CDTF">2021-02-10T07:28:00Z</dcterms:created>
  <dcterms:modified xsi:type="dcterms:W3CDTF">2025-04-28T09:48:00Z</dcterms:modified>
</cp:coreProperties>
</file>